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701F4" w14:textId="300F0EC1" w:rsidR="00E81978" w:rsidRPr="00CD332D" w:rsidRDefault="0014701F" w:rsidP="00CD332D">
      <w:pPr>
        <w:pStyle w:val="Title"/>
        <w:rPr>
          <w:rFonts w:asciiTheme="minorHAnsi" w:hAnsiTheme="minorHAnsi" w:cstheme="minorHAnsi"/>
        </w:rPr>
      </w:pPr>
      <w:sdt>
        <w:sdtPr>
          <w:rPr>
            <w:rFonts w:asciiTheme="minorHAnsi" w:hAnsiTheme="minorHAnsi" w:cstheme="minorHAnsi"/>
          </w:rPr>
          <w:alias w:val="Title:"/>
          <w:tag w:val="Title:"/>
          <w:id w:val="726351117"/>
          <w:placeholder>
            <w:docPart w:val="DAD561436B69489FB7EDE10CD49F9CD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D332D" w:rsidRPr="00CD332D">
            <w:rPr>
              <w:rFonts w:asciiTheme="minorHAnsi" w:hAnsiTheme="minorHAnsi" w:cstheme="minorHAnsi"/>
            </w:rPr>
            <w:t xml:space="preserve">Saudi Banking Law </w:t>
          </w:r>
        </w:sdtContent>
      </w:sdt>
    </w:p>
    <w:p w14:paraId="3A92C5C2" w14:textId="39E874D2" w:rsidR="00B823AA" w:rsidRPr="00CD332D" w:rsidRDefault="00CD332D" w:rsidP="00CD332D">
      <w:pPr>
        <w:pStyle w:val="Title2"/>
        <w:rPr>
          <w:rFonts w:cstheme="minorHAnsi"/>
        </w:rPr>
      </w:pPr>
      <w:r w:rsidRPr="00CD332D">
        <w:rPr>
          <w:rFonts w:cstheme="minorHAnsi"/>
        </w:rPr>
        <w:t>Name</w:t>
      </w:r>
    </w:p>
    <w:p w14:paraId="2BB96E55" w14:textId="25D6698B" w:rsidR="00E81978" w:rsidRPr="00CD332D" w:rsidRDefault="00CD332D" w:rsidP="00CD332D">
      <w:pPr>
        <w:pStyle w:val="Title2"/>
        <w:rPr>
          <w:rFonts w:cstheme="minorHAnsi"/>
        </w:rPr>
      </w:pPr>
      <w:r w:rsidRPr="00CD332D">
        <w:rPr>
          <w:rFonts w:cstheme="minorHAnsi"/>
        </w:rPr>
        <w:t>Institutional Affiliation</w:t>
      </w:r>
    </w:p>
    <w:p w14:paraId="26FF5142" w14:textId="2BDD1EC1" w:rsidR="00CD332D" w:rsidRPr="00CD332D" w:rsidRDefault="00CD332D" w:rsidP="00CD332D">
      <w:pPr>
        <w:pStyle w:val="Title2"/>
        <w:rPr>
          <w:rFonts w:cstheme="minorHAnsi"/>
        </w:rPr>
      </w:pPr>
    </w:p>
    <w:p w14:paraId="5CF19A6B" w14:textId="3BBDDF93" w:rsidR="00CD332D" w:rsidRPr="00CD332D" w:rsidRDefault="00CD332D" w:rsidP="00CD332D">
      <w:pPr>
        <w:pStyle w:val="Title2"/>
        <w:rPr>
          <w:rFonts w:cstheme="minorHAnsi"/>
        </w:rPr>
      </w:pPr>
    </w:p>
    <w:p w14:paraId="7E36E909" w14:textId="1B96E7EC" w:rsidR="00CD332D" w:rsidRPr="00CD332D" w:rsidRDefault="00CD332D" w:rsidP="00CD332D">
      <w:pPr>
        <w:pStyle w:val="Title2"/>
        <w:rPr>
          <w:rFonts w:cstheme="minorHAnsi"/>
        </w:rPr>
      </w:pPr>
    </w:p>
    <w:p w14:paraId="074C00B6" w14:textId="09C3ED88" w:rsidR="00CD332D" w:rsidRPr="00CD332D" w:rsidRDefault="00CD332D" w:rsidP="00CD332D">
      <w:pPr>
        <w:pStyle w:val="Title2"/>
        <w:rPr>
          <w:rFonts w:cstheme="minorHAnsi"/>
        </w:rPr>
      </w:pPr>
    </w:p>
    <w:p w14:paraId="3C7C42B6" w14:textId="061824D3" w:rsidR="00CD332D" w:rsidRPr="00CD332D" w:rsidRDefault="00CD332D" w:rsidP="00CD332D">
      <w:pPr>
        <w:pStyle w:val="Title2"/>
        <w:rPr>
          <w:rFonts w:cstheme="minorHAnsi"/>
        </w:rPr>
      </w:pPr>
    </w:p>
    <w:p w14:paraId="67496AEC" w14:textId="0697C963" w:rsidR="00CD332D" w:rsidRPr="00CD332D" w:rsidRDefault="00CD332D" w:rsidP="00CD332D">
      <w:pPr>
        <w:pStyle w:val="Title2"/>
        <w:rPr>
          <w:rFonts w:cstheme="minorHAnsi"/>
        </w:rPr>
      </w:pPr>
    </w:p>
    <w:p w14:paraId="081592CA" w14:textId="3EAD0F39" w:rsidR="00CD332D" w:rsidRPr="00CD332D" w:rsidRDefault="00CD332D" w:rsidP="00CD332D">
      <w:pPr>
        <w:pStyle w:val="Title2"/>
        <w:rPr>
          <w:rFonts w:cstheme="minorHAnsi"/>
        </w:rPr>
      </w:pPr>
    </w:p>
    <w:p w14:paraId="102DCE42" w14:textId="484E7791" w:rsidR="00CD332D" w:rsidRPr="00CD332D" w:rsidRDefault="00CD332D" w:rsidP="00CD332D">
      <w:pPr>
        <w:pStyle w:val="Title2"/>
        <w:rPr>
          <w:rFonts w:cstheme="minorHAnsi"/>
        </w:rPr>
      </w:pPr>
    </w:p>
    <w:p w14:paraId="054DDB5B" w14:textId="16E4F832" w:rsidR="00CD332D" w:rsidRPr="00CD332D" w:rsidRDefault="00CD332D" w:rsidP="00CD332D">
      <w:pPr>
        <w:pStyle w:val="Title2"/>
        <w:rPr>
          <w:rFonts w:cstheme="minorHAnsi"/>
        </w:rPr>
      </w:pPr>
    </w:p>
    <w:p w14:paraId="69124A3D" w14:textId="7DB6E936" w:rsidR="00CD332D" w:rsidRPr="00CD332D" w:rsidRDefault="00CD332D" w:rsidP="00CD332D">
      <w:pPr>
        <w:pStyle w:val="Title2"/>
        <w:rPr>
          <w:rFonts w:cstheme="minorHAnsi"/>
        </w:rPr>
      </w:pPr>
    </w:p>
    <w:p w14:paraId="6D1DC1C3" w14:textId="299F4D81" w:rsidR="00CD332D" w:rsidRPr="00CD332D" w:rsidRDefault="00CD332D" w:rsidP="00CD332D">
      <w:pPr>
        <w:pStyle w:val="Title2"/>
        <w:rPr>
          <w:rFonts w:cstheme="minorHAnsi"/>
        </w:rPr>
      </w:pPr>
    </w:p>
    <w:p w14:paraId="5F6D047C" w14:textId="7451F2D8" w:rsidR="00CD332D" w:rsidRPr="00CD332D" w:rsidRDefault="00CD332D" w:rsidP="00CD332D">
      <w:pPr>
        <w:pStyle w:val="Title2"/>
        <w:rPr>
          <w:rFonts w:cstheme="minorHAnsi"/>
        </w:rPr>
      </w:pPr>
    </w:p>
    <w:p w14:paraId="06DE3498" w14:textId="159462E5" w:rsidR="00CD332D" w:rsidRPr="00CD332D" w:rsidRDefault="00CD332D" w:rsidP="00CD332D">
      <w:pPr>
        <w:pStyle w:val="Title2"/>
        <w:rPr>
          <w:rFonts w:cstheme="minorHAnsi"/>
        </w:rPr>
      </w:pPr>
    </w:p>
    <w:p w14:paraId="78A29D17" w14:textId="11717A83" w:rsidR="00CD332D" w:rsidRPr="00CD332D" w:rsidRDefault="00CD332D" w:rsidP="00CD332D">
      <w:pPr>
        <w:pStyle w:val="Title2"/>
        <w:rPr>
          <w:rFonts w:cstheme="minorHAnsi"/>
        </w:rPr>
      </w:pPr>
    </w:p>
    <w:p w14:paraId="4975B082" w14:textId="4301388D" w:rsidR="00CD332D" w:rsidRPr="00CD332D" w:rsidRDefault="00CD332D" w:rsidP="00CD332D">
      <w:pPr>
        <w:pStyle w:val="Title2"/>
        <w:rPr>
          <w:rFonts w:cstheme="minorHAnsi"/>
        </w:rPr>
      </w:pPr>
    </w:p>
    <w:p w14:paraId="20E36472" w14:textId="4E91407B" w:rsidR="00CD332D" w:rsidRPr="00CD332D" w:rsidRDefault="00CD332D" w:rsidP="00CD332D">
      <w:pPr>
        <w:pStyle w:val="Title2"/>
        <w:rPr>
          <w:rFonts w:cstheme="minorHAnsi"/>
        </w:rPr>
      </w:pPr>
    </w:p>
    <w:p w14:paraId="35638B12" w14:textId="4961847B" w:rsidR="00CD332D" w:rsidRDefault="00CD332D" w:rsidP="00CD332D">
      <w:pPr>
        <w:pStyle w:val="Title2"/>
        <w:rPr>
          <w:rFonts w:cstheme="minorHAnsi"/>
          <w:b/>
          <w:bCs/>
          <w:color w:val="1D1D1D"/>
          <w:shd w:val="clear" w:color="auto" w:fill="FFFFFF"/>
        </w:rPr>
      </w:pPr>
      <w:r w:rsidRPr="00CD332D">
        <w:rPr>
          <w:rFonts w:cstheme="minorHAnsi"/>
          <w:b/>
          <w:bCs/>
          <w:color w:val="1D1D1D"/>
          <w:shd w:val="clear" w:color="auto" w:fill="FFFFFF"/>
        </w:rPr>
        <w:lastRenderedPageBreak/>
        <w:t>J</w:t>
      </w:r>
      <w:r w:rsidRPr="00CD332D">
        <w:rPr>
          <w:rFonts w:cstheme="minorHAnsi"/>
          <w:b/>
          <w:bCs/>
          <w:color w:val="1D1D1D"/>
          <w:shd w:val="clear" w:color="auto" w:fill="FFFFFF"/>
        </w:rPr>
        <w:t xml:space="preserve">urisdictions of the three </w:t>
      </w:r>
      <w:r w:rsidRPr="00CD332D">
        <w:rPr>
          <w:rFonts w:cstheme="minorHAnsi"/>
          <w:b/>
          <w:bCs/>
          <w:color w:val="1D1D1D"/>
          <w:shd w:val="clear" w:color="auto" w:fill="FFFFFF"/>
        </w:rPr>
        <w:t xml:space="preserve">committees: </w:t>
      </w:r>
      <w:bookmarkStart w:id="0" w:name="_Hlk68177309"/>
      <w:r w:rsidRPr="00CD332D">
        <w:rPr>
          <w:rFonts w:cstheme="minorHAnsi"/>
          <w:b/>
          <w:bCs/>
          <w:color w:val="1D1D1D"/>
          <w:shd w:val="clear" w:color="auto" w:fill="FFFFFF"/>
        </w:rPr>
        <w:t>Banking</w:t>
      </w:r>
      <w:r w:rsidRPr="00CD332D">
        <w:rPr>
          <w:rFonts w:cstheme="minorHAnsi"/>
          <w:b/>
          <w:bCs/>
          <w:color w:val="1D1D1D"/>
          <w:shd w:val="clear" w:color="auto" w:fill="FFFFFF"/>
        </w:rPr>
        <w:t xml:space="preserve"> Committee</w:t>
      </w:r>
      <w:r w:rsidRPr="00CD332D">
        <w:rPr>
          <w:rFonts w:cstheme="minorHAnsi"/>
          <w:b/>
          <w:bCs/>
          <w:color w:val="1D1D1D"/>
          <w:shd w:val="clear" w:color="auto" w:fill="FFFFFF"/>
        </w:rPr>
        <w:t>,</w:t>
      </w:r>
      <w:r w:rsidRPr="00CD332D">
        <w:rPr>
          <w:rFonts w:cstheme="minorHAnsi"/>
          <w:b/>
          <w:bCs/>
          <w:color w:val="1D1D1D"/>
          <w:shd w:val="clear" w:color="auto" w:fill="FFFFFF"/>
        </w:rPr>
        <w:t xml:space="preserve"> </w:t>
      </w:r>
      <w:bookmarkStart w:id="1" w:name="_Hlk68181788"/>
      <w:r w:rsidRPr="00CD332D">
        <w:rPr>
          <w:rFonts w:cstheme="minorHAnsi"/>
          <w:b/>
          <w:bCs/>
          <w:color w:val="1D1D1D"/>
          <w:shd w:val="clear" w:color="auto" w:fill="FFFFFF"/>
        </w:rPr>
        <w:t>F</w:t>
      </w:r>
      <w:r w:rsidRPr="00CD332D">
        <w:rPr>
          <w:rFonts w:cstheme="minorHAnsi"/>
          <w:b/>
          <w:bCs/>
          <w:color w:val="1D1D1D"/>
          <w:shd w:val="clear" w:color="auto" w:fill="FFFFFF"/>
        </w:rPr>
        <w:t xml:space="preserve">inancing </w:t>
      </w:r>
      <w:r w:rsidRPr="00CD332D">
        <w:rPr>
          <w:rFonts w:cstheme="minorHAnsi"/>
          <w:b/>
          <w:bCs/>
          <w:color w:val="1D1D1D"/>
          <w:shd w:val="clear" w:color="auto" w:fill="FFFFFF"/>
        </w:rPr>
        <w:t>Committee</w:t>
      </w:r>
      <w:bookmarkEnd w:id="1"/>
      <w:r w:rsidRPr="00CD332D">
        <w:rPr>
          <w:rFonts w:cstheme="minorHAnsi"/>
          <w:b/>
          <w:bCs/>
          <w:color w:val="1D1D1D"/>
          <w:shd w:val="clear" w:color="auto" w:fill="FFFFFF"/>
        </w:rPr>
        <w:t xml:space="preserve">, and </w:t>
      </w:r>
      <w:r w:rsidRPr="00CD332D">
        <w:rPr>
          <w:rFonts w:cstheme="minorHAnsi"/>
          <w:b/>
          <w:bCs/>
          <w:color w:val="1D1D1D"/>
          <w:shd w:val="clear" w:color="auto" w:fill="FFFFFF"/>
        </w:rPr>
        <w:t xml:space="preserve">Credit </w:t>
      </w:r>
      <w:r w:rsidRPr="00CD332D">
        <w:rPr>
          <w:rFonts w:cstheme="minorHAnsi"/>
          <w:b/>
          <w:bCs/>
          <w:color w:val="1D1D1D"/>
          <w:shd w:val="clear" w:color="auto" w:fill="FFFFFF"/>
        </w:rPr>
        <w:t>I</w:t>
      </w:r>
      <w:r w:rsidRPr="00CD332D">
        <w:rPr>
          <w:rFonts w:cstheme="minorHAnsi"/>
          <w:b/>
          <w:bCs/>
          <w:color w:val="1D1D1D"/>
          <w:shd w:val="clear" w:color="auto" w:fill="FFFFFF"/>
        </w:rPr>
        <w:t xml:space="preserve">nformation </w:t>
      </w:r>
      <w:r w:rsidRPr="00CD332D">
        <w:rPr>
          <w:rFonts w:cstheme="minorHAnsi"/>
          <w:b/>
          <w:bCs/>
          <w:color w:val="1D1D1D"/>
          <w:shd w:val="clear" w:color="auto" w:fill="FFFFFF"/>
        </w:rPr>
        <w:t>C</w:t>
      </w:r>
      <w:r w:rsidRPr="00CD332D">
        <w:rPr>
          <w:rFonts w:cstheme="minorHAnsi"/>
          <w:b/>
          <w:bCs/>
          <w:color w:val="1D1D1D"/>
          <w:shd w:val="clear" w:color="auto" w:fill="FFFFFF"/>
        </w:rPr>
        <w:t>ommittee</w:t>
      </w:r>
      <w:bookmarkEnd w:id="0"/>
    </w:p>
    <w:p w14:paraId="3D2444B1" w14:textId="2580185A" w:rsidR="004B0632" w:rsidRDefault="004B0632" w:rsidP="004C5ADE">
      <w:pPr>
        <w:pStyle w:val="Title2"/>
        <w:ind w:firstLine="720"/>
        <w:jc w:val="left"/>
        <w:rPr>
          <w:rFonts w:cstheme="minorHAnsi"/>
          <w:color w:val="1D1D1D"/>
          <w:shd w:val="clear" w:color="auto" w:fill="FFFFFF"/>
        </w:rPr>
      </w:pPr>
      <w:r w:rsidRPr="004B0632">
        <w:rPr>
          <w:rFonts w:cstheme="minorHAnsi"/>
          <w:color w:val="1D1D1D"/>
          <w:shd w:val="clear" w:color="auto" w:fill="FFFFFF"/>
        </w:rPr>
        <w:t>Commercial banks in Saudi Arabia are the significant pillars of the country’s economy: ac</w:t>
      </w:r>
      <w:r>
        <w:rPr>
          <w:rFonts w:cstheme="minorHAnsi"/>
          <w:color w:val="1D1D1D"/>
          <w:shd w:val="clear" w:color="auto" w:fill="FFFFFF"/>
        </w:rPr>
        <w:t>ts as a link between the borrowers and depositors: Therefore, as a leading developing nation the Saudi Arabia has established appropriate legal environment for their banking industry</w:t>
      </w:r>
      <w:r w:rsidR="00A90494">
        <w:rPr>
          <w:rFonts w:cstheme="minorHAnsi"/>
          <w:color w:val="1D1D1D"/>
          <w:shd w:val="clear" w:color="auto" w:fill="FFFFFF"/>
        </w:rPr>
        <w:t xml:space="preserve"> to settle various banking, finance and credit related disputes.</w:t>
      </w:r>
    </w:p>
    <w:p w14:paraId="0F7EB548" w14:textId="4FC83B1C" w:rsidR="00A90494" w:rsidRDefault="00A90494" w:rsidP="004C5ADE">
      <w:pPr>
        <w:pStyle w:val="Title2"/>
        <w:ind w:firstLine="720"/>
        <w:jc w:val="left"/>
        <w:rPr>
          <w:rFonts w:cstheme="minorHAnsi"/>
          <w:color w:val="1D1D1D"/>
          <w:shd w:val="clear" w:color="auto" w:fill="FFFFFF"/>
        </w:rPr>
      </w:pPr>
      <w:r>
        <w:rPr>
          <w:rFonts w:cstheme="minorHAnsi"/>
          <w:color w:val="1D1D1D"/>
          <w:shd w:val="clear" w:color="auto" w:fill="FFFFFF"/>
        </w:rPr>
        <w:t xml:space="preserve">There are three major committees established to help in the settlement of disputes involving the commercial banks, investors, borrowers, and other stakeholders in the kingdom of Saudi Arabia’s banking sectors. These committees include </w:t>
      </w:r>
      <w:r w:rsidRPr="00A90494">
        <w:rPr>
          <w:rFonts w:cstheme="minorHAnsi"/>
          <w:color w:val="1D1D1D"/>
          <w:shd w:val="clear" w:color="auto" w:fill="FFFFFF"/>
        </w:rPr>
        <w:t>Banking Committee, Financing Committee, and Credit Information Committee</w:t>
      </w:r>
      <w:r w:rsidR="007B2CAA">
        <w:rPr>
          <w:rFonts w:cstheme="minorHAnsi"/>
          <w:color w:val="1D1D1D"/>
          <w:shd w:val="clear" w:color="auto" w:fill="FFFFFF"/>
        </w:rPr>
        <w:t>.</w:t>
      </w:r>
    </w:p>
    <w:p w14:paraId="4F907E62" w14:textId="62355BBD" w:rsidR="007B2CAA" w:rsidRDefault="007B2CAA" w:rsidP="004C5ADE">
      <w:pPr>
        <w:pStyle w:val="Title2"/>
        <w:ind w:firstLine="720"/>
        <w:jc w:val="left"/>
        <w:rPr>
          <w:rFonts w:cstheme="minorHAnsi"/>
          <w:b/>
          <w:bCs/>
          <w:color w:val="1D1D1D"/>
          <w:shd w:val="clear" w:color="auto" w:fill="FFFFFF"/>
        </w:rPr>
      </w:pPr>
      <w:r w:rsidRPr="007B2CAA">
        <w:rPr>
          <w:rFonts w:cstheme="minorHAnsi"/>
          <w:b/>
          <w:bCs/>
          <w:color w:val="1D1D1D"/>
          <w:shd w:val="clear" w:color="auto" w:fill="FFFFFF"/>
        </w:rPr>
        <w:t xml:space="preserve">Banking Committee </w:t>
      </w:r>
    </w:p>
    <w:p w14:paraId="340D561A" w14:textId="0652B9D1" w:rsidR="007B2CAA" w:rsidRDefault="001E06D5" w:rsidP="004C5ADE">
      <w:pPr>
        <w:pStyle w:val="Title2"/>
        <w:ind w:firstLine="720"/>
        <w:jc w:val="left"/>
        <w:rPr>
          <w:rFonts w:cstheme="minorHAnsi"/>
          <w:color w:val="1D1D1D"/>
          <w:shd w:val="clear" w:color="auto" w:fill="FFFFFF"/>
        </w:rPr>
      </w:pPr>
      <w:r>
        <w:rPr>
          <w:rFonts w:cstheme="minorHAnsi"/>
          <w:color w:val="1D1D1D"/>
          <w:shd w:val="clear" w:color="auto" w:fill="FFFFFF"/>
        </w:rPr>
        <w:t xml:space="preserve">Banking committees was first established in 3 October 1987 during the promulgation of </w:t>
      </w:r>
      <w:r w:rsidRPr="007B2CAA">
        <w:rPr>
          <w:rFonts w:cstheme="minorHAnsi"/>
          <w:color w:val="1D1D1D"/>
          <w:shd w:val="clear" w:color="auto" w:fill="FFFFFF"/>
        </w:rPr>
        <w:t>Royal</w:t>
      </w:r>
      <w:r w:rsidR="007B2CAA" w:rsidRPr="007B2CAA">
        <w:rPr>
          <w:rFonts w:cstheme="minorHAnsi"/>
          <w:color w:val="1D1D1D"/>
          <w:shd w:val="clear" w:color="auto" w:fill="FFFFFF"/>
        </w:rPr>
        <w:t xml:space="preserve"> Decree </w:t>
      </w:r>
      <w:r w:rsidR="007B2CAA">
        <w:rPr>
          <w:rFonts w:cstheme="minorHAnsi"/>
          <w:color w:val="1D1D1D"/>
          <w:shd w:val="clear" w:color="auto" w:fill="FFFFFF"/>
        </w:rPr>
        <w:t>Number 729</w:t>
      </w:r>
      <w:r>
        <w:rPr>
          <w:rFonts w:cstheme="minorHAnsi"/>
          <w:color w:val="1D1D1D"/>
          <w:shd w:val="clear" w:color="auto" w:fill="FFFFFF"/>
        </w:rPr>
        <w:t>/8</w:t>
      </w:r>
      <w:sdt>
        <w:sdtPr>
          <w:rPr>
            <w:rFonts w:cstheme="minorHAnsi"/>
            <w:color w:val="1D1D1D"/>
            <w:shd w:val="clear" w:color="auto" w:fill="FFFFFF"/>
          </w:rPr>
          <w:id w:val="726734255"/>
          <w:citation/>
        </w:sdtPr>
        <w:sdtContent>
          <w:r w:rsidR="003B7A87">
            <w:rPr>
              <w:rFonts w:cstheme="minorHAnsi"/>
              <w:color w:val="1D1D1D"/>
              <w:shd w:val="clear" w:color="auto" w:fill="FFFFFF"/>
            </w:rPr>
            <w:fldChar w:fldCharType="begin"/>
          </w:r>
          <w:r w:rsidR="003B7A87">
            <w:rPr>
              <w:rFonts w:cstheme="minorHAnsi"/>
              <w:color w:val="1D1D1D"/>
              <w:shd w:val="clear" w:color="auto" w:fill="FFFFFF"/>
            </w:rPr>
            <w:instrText xml:space="preserve"> CITATION AlH11 \l 1033 </w:instrText>
          </w:r>
          <w:r w:rsidR="003B7A87">
            <w:rPr>
              <w:rFonts w:cstheme="minorHAnsi"/>
              <w:color w:val="1D1D1D"/>
              <w:shd w:val="clear" w:color="auto" w:fill="FFFFFF"/>
            </w:rPr>
            <w:fldChar w:fldCharType="separate"/>
          </w:r>
          <w:r w:rsidR="003B7A87">
            <w:rPr>
              <w:rFonts w:cstheme="minorHAnsi"/>
              <w:noProof/>
              <w:color w:val="1D1D1D"/>
              <w:shd w:val="clear" w:color="auto" w:fill="FFFFFF"/>
            </w:rPr>
            <w:t xml:space="preserve"> </w:t>
          </w:r>
          <w:r w:rsidR="003B7A87" w:rsidRPr="003B7A87">
            <w:rPr>
              <w:rFonts w:cstheme="minorHAnsi"/>
              <w:noProof/>
              <w:color w:val="1D1D1D"/>
              <w:shd w:val="clear" w:color="auto" w:fill="FFFFFF"/>
            </w:rPr>
            <w:t>(Al-Herbish, 2011)</w:t>
          </w:r>
          <w:r w:rsidR="003B7A87">
            <w:rPr>
              <w:rFonts w:cstheme="minorHAnsi"/>
              <w:color w:val="1D1D1D"/>
              <w:shd w:val="clear" w:color="auto" w:fill="FFFFFF"/>
            </w:rPr>
            <w:fldChar w:fldCharType="end"/>
          </w:r>
        </w:sdtContent>
      </w:sdt>
      <w:r>
        <w:rPr>
          <w:rFonts w:cstheme="minorHAnsi"/>
          <w:color w:val="1D1D1D"/>
          <w:shd w:val="clear" w:color="auto" w:fill="FFFFFF"/>
        </w:rPr>
        <w:t>. The main purpose for the formation of this Decree was establish the judicial agency that helps in the settlement of banking disputes and a manner to assist the commercial banks and other money lending institutions in Saudi Arabia to collect banks debts by strictly following the facility agreement provisions and without prejudicing the interests and legal rights of the borrowers.</w:t>
      </w:r>
    </w:p>
    <w:p w14:paraId="65AB285A" w14:textId="08DD370F" w:rsidR="001E06D5" w:rsidRDefault="001E06D5" w:rsidP="004C5ADE">
      <w:pPr>
        <w:pStyle w:val="Title2"/>
        <w:ind w:firstLine="720"/>
        <w:jc w:val="left"/>
        <w:rPr>
          <w:rFonts w:cstheme="minorHAnsi"/>
          <w:color w:val="1D1D1D"/>
          <w:shd w:val="clear" w:color="auto" w:fill="FFFFFF"/>
        </w:rPr>
      </w:pPr>
      <w:r>
        <w:rPr>
          <w:rFonts w:cstheme="minorHAnsi"/>
          <w:color w:val="1D1D1D"/>
          <w:shd w:val="clear" w:color="auto" w:fill="FFFFFF"/>
        </w:rPr>
        <w:t xml:space="preserve">The Decree established the Committee for the Settlement of Banking Disputes </w:t>
      </w:r>
      <w:r w:rsidR="007E4B68">
        <w:rPr>
          <w:rFonts w:cstheme="minorHAnsi"/>
          <w:color w:val="1D1D1D"/>
          <w:shd w:val="clear" w:color="auto" w:fill="FFFFFF"/>
        </w:rPr>
        <w:t xml:space="preserve">at SAMA (Saudi Monetary Agency). The role of the committee is to review bank-customer disputes in accordance to the loan instrument </w:t>
      </w:r>
      <w:r w:rsidR="005B2AEE">
        <w:rPr>
          <w:rFonts w:cstheme="minorHAnsi"/>
          <w:color w:val="1D1D1D"/>
          <w:shd w:val="clear" w:color="auto" w:fill="FFFFFF"/>
        </w:rPr>
        <w:t>provisions. In 1987, March 10, pursuant to the Resolution Number 729.8^40 of the Council of Ministers SAMA Committee was formed to study and review banking disputes between the commercial banks and their clients that are not related to the commercial paper</w:t>
      </w:r>
      <w:sdt>
        <w:sdtPr>
          <w:rPr>
            <w:rFonts w:cstheme="minorHAnsi"/>
            <w:color w:val="1D1D1D"/>
            <w:shd w:val="clear" w:color="auto" w:fill="FFFFFF"/>
          </w:rPr>
          <w:id w:val="-1684278738"/>
          <w:citation/>
        </w:sdtPr>
        <w:sdtContent>
          <w:r w:rsidR="003B7A87">
            <w:rPr>
              <w:rFonts w:cstheme="minorHAnsi"/>
              <w:color w:val="1D1D1D"/>
              <w:shd w:val="clear" w:color="auto" w:fill="FFFFFF"/>
            </w:rPr>
            <w:fldChar w:fldCharType="begin"/>
          </w:r>
          <w:r w:rsidR="003B7A87">
            <w:rPr>
              <w:rFonts w:cstheme="minorHAnsi"/>
              <w:color w:val="1D1D1D"/>
              <w:shd w:val="clear" w:color="auto" w:fill="FFFFFF"/>
            </w:rPr>
            <w:instrText xml:space="preserve"> CITATION AlH11 \l 1033 </w:instrText>
          </w:r>
          <w:r w:rsidR="003B7A87">
            <w:rPr>
              <w:rFonts w:cstheme="minorHAnsi"/>
              <w:color w:val="1D1D1D"/>
              <w:shd w:val="clear" w:color="auto" w:fill="FFFFFF"/>
            </w:rPr>
            <w:fldChar w:fldCharType="separate"/>
          </w:r>
          <w:r w:rsidR="003B7A87">
            <w:rPr>
              <w:rFonts w:cstheme="minorHAnsi"/>
              <w:noProof/>
              <w:color w:val="1D1D1D"/>
              <w:shd w:val="clear" w:color="auto" w:fill="FFFFFF"/>
            </w:rPr>
            <w:t xml:space="preserve"> </w:t>
          </w:r>
          <w:r w:rsidR="003B7A87" w:rsidRPr="003B7A87">
            <w:rPr>
              <w:rFonts w:cstheme="minorHAnsi"/>
              <w:noProof/>
              <w:color w:val="1D1D1D"/>
              <w:shd w:val="clear" w:color="auto" w:fill="FFFFFF"/>
            </w:rPr>
            <w:t>(Al-Herbish, 2011)</w:t>
          </w:r>
          <w:r w:rsidR="003B7A87">
            <w:rPr>
              <w:rFonts w:cstheme="minorHAnsi"/>
              <w:color w:val="1D1D1D"/>
              <w:shd w:val="clear" w:color="auto" w:fill="FFFFFF"/>
            </w:rPr>
            <w:fldChar w:fldCharType="end"/>
          </w:r>
        </w:sdtContent>
      </w:sdt>
      <w:r w:rsidR="005B2AEE">
        <w:rPr>
          <w:rFonts w:cstheme="minorHAnsi"/>
          <w:color w:val="1D1D1D"/>
          <w:shd w:val="clear" w:color="auto" w:fill="FFFFFF"/>
        </w:rPr>
        <w:t>.</w:t>
      </w:r>
    </w:p>
    <w:p w14:paraId="0B4A586C" w14:textId="7AAD5472" w:rsidR="00321DFC" w:rsidRPr="007B2CAA" w:rsidRDefault="00723C65" w:rsidP="00321DFC">
      <w:pPr>
        <w:pStyle w:val="Title2"/>
        <w:ind w:firstLine="720"/>
        <w:jc w:val="left"/>
        <w:rPr>
          <w:rFonts w:cstheme="minorHAnsi"/>
          <w:color w:val="1D1D1D"/>
          <w:shd w:val="clear" w:color="auto" w:fill="FFFFFF"/>
        </w:rPr>
      </w:pPr>
      <w:r>
        <w:rPr>
          <w:rFonts w:cstheme="minorHAnsi"/>
          <w:color w:val="1D1D1D"/>
          <w:shd w:val="clear" w:color="auto" w:fill="FFFFFF"/>
        </w:rPr>
        <w:lastRenderedPageBreak/>
        <w:t>SAMA Committee usually meets in the evenings after the unset prayer and they have the power to recommend the following: (a) freezing public payments bank accounts owned to the client defendants (b) restricting litigants from travelling abroad, and (c) the attachments of properties (assets</w:t>
      </w:r>
      <w:r w:rsidR="00321DFC">
        <w:rPr>
          <w:rFonts w:cstheme="minorHAnsi"/>
          <w:color w:val="1D1D1D"/>
          <w:shd w:val="clear" w:color="auto" w:fill="FFFFFF"/>
        </w:rPr>
        <w:t>). Additionally, the committee has the powers to ask various government bodies to stop any commercial deals or transactions with a certain client involved in a banking dispute or case</w:t>
      </w:r>
      <w:sdt>
        <w:sdtPr>
          <w:rPr>
            <w:rFonts w:cstheme="minorHAnsi"/>
            <w:color w:val="1D1D1D"/>
            <w:shd w:val="clear" w:color="auto" w:fill="FFFFFF"/>
          </w:rPr>
          <w:id w:val="1809979698"/>
          <w:citation/>
        </w:sdtPr>
        <w:sdtContent>
          <w:r w:rsidR="003B7A87">
            <w:rPr>
              <w:rFonts w:cstheme="minorHAnsi"/>
              <w:color w:val="1D1D1D"/>
              <w:shd w:val="clear" w:color="auto" w:fill="FFFFFF"/>
            </w:rPr>
            <w:fldChar w:fldCharType="begin"/>
          </w:r>
          <w:r w:rsidR="003B7A87">
            <w:rPr>
              <w:rFonts w:cstheme="minorHAnsi"/>
              <w:color w:val="1D1D1D"/>
              <w:shd w:val="clear" w:color="auto" w:fill="FFFFFF"/>
            </w:rPr>
            <w:instrText xml:space="preserve"> CITATION AlH11 \l 1033 </w:instrText>
          </w:r>
          <w:r w:rsidR="003B7A87">
            <w:rPr>
              <w:rFonts w:cstheme="minorHAnsi"/>
              <w:color w:val="1D1D1D"/>
              <w:shd w:val="clear" w:color="auto" w:fill="FFFFFF"/>
            </w:rPr>
            <w:fldChar w:fldCharType="separate"/>
          </w:r>
          <w:r w:rsidR="003B7A87">
            <w:rPr>
              <w:rFonts w:cstheme="minorHAnsi"/>
              <w:noProof/>
              <w:color w:val="1D1D1D"/>
              <w:shd w:val="clear" w:color="auto" w:fill="FFFFFF"/>
            </w:rPr>
            <w:t xml:space="preserve"> </w:t>
          </w:r>
          <w:r w:rsidR="003B7A87" w:rsidRPr="003B7A87">
            <w:rPr>
              <w:rFonts w:cstheme="minorHAnsi"/>
              <w:noProof/>
              <w:color w:val="1D1D1D"/>
              <w:shd w:val="clear" w:color="auto" w:fill="FFFFFF"/>
            </w:rPr>
            <w:t>(Al-Herbish, 2011)</w:t>
          </w:r>
          <w:r w:rsidR="003B7A87">
            <w:rPr>
              <w:rFonts w:cstheme="minorHAnsi"/>
              <w:color w:val="1D1D1D"/>
              <w:shd w:val="clear" w:color="auto" w:fill="FFFFFF"/>
            </w:rPr>
            <w:fldChar w:fldCharType="end"/>
          </w:r>
        </w:sdtContent>
      </w:sdt>
      <w:r w:rsidR="00321DFC">
        <w:rPr>
          <w:rFonts w:cstheme="minorHAnsi"/>
          <w:color w:val="1D1D1D"/>
          <w:shd w:val="clear" w:color="auto" w:fill="FFFFFF"/>
        </w:rPr>
        <w:t>.</w:t>
      </w:r>
    </w:p>
    <w:p w14:paraId="0B129045" w14:textId="166281FF" w:rsidR="007B2CAA" w:rsidRDefault="00AA6C79" w:rsidP="004C5ADE">
      <w:pPr>
        <w:pStyle w:val="Title2"/>
        <w:ind w:firstLine="720"/>
        <w:jc w:val="left"/>
        <w:rPr>
          <w:rFonts w:cstheme="minorHAnsi"/>
          <w:b/>
          <w:bCs/>
          <w:color w:val="1D1D1D"/>
          <w:shd w:val="clear" w:color="auto" w:fill="FFFFFF"/>
        </w:rPr>
      </w:pPr>
      <w:r w:rsidRPr="00CD332D">
        <w:rPr>
          <w:rFonts w:cstheme="minorHAnsi"/>
          <w:b/>
          <w:bCs/>
          <w:color w:val="1D1D1D"/>
          <w:shd w:val="clear" w:color="auto" w:fill="FFFFFF"/>
        </w:rPr>
        <w:t>Financing Committee</w:t>
      </w:r>
    </w:p>
    <w:p w14:paraId="5C21DD4A" w14:textId="653FC222" w:rsidR="00AA6C79" w:rsidRDefault="00AA6C79" w:rsidP="00AA6C79">
      <w:pPr>
        <w:pStyle w:val="Title2"/>
        <w:ind w:firstLine="720"/>
        <w:jc w:val="left"/>
        <w:rPr>
          <w:rFonts w:cstheme="minorHAnsi"/>
          <w:color w:val="1D1D1D"/>
          <w:shd w:val="clear" w:color="auto" w:fill="FFFFFF"/>
        </w:rPr>
      </w:pPr>
      <w:r w:rsidRPr="00AA6C79">
        <w:rPr>
          <w:rFonts w:cstheme="minorHAnsi"/>
          <w:color w:val="1D1D1D"/>
          <w:shd w:val="clear" w:color="auto" w:fill="FFFFFF"/>
        </w:rPr>
        <w:t>Financing committee was established to deal with financing disputes as well as violations. This type of committee was established under declaration of financing regulations as stipulated in the Royal Decree No.51/m of 13/08/1433H</w:t>
      </w:r>
      <w:sdt>
        <w:sdtPr>
          <w:rPr>
            <w:rFonts w:cstheme="minorHAnsi"/>
            <w:color w:val="1D1D1D"/>
            <w:shd w:val="clear" w:color="auto" w:fill="FFFFFF"/>
          </w:rPr>
          <w:id w:val="-1478600308"/>
          <w:citation/>
        </w:sdtPr>
        <w:sdtContent>
          <w:r w:rsidR="003B7A87">
            <w:rPr>
              <w:rFonts w:cstheme="minorHAnsi"/>
              <w:color w:val="1D1D1D"/>
              <w:shd w:val="clear" w:color="auto" w:fill="FFFFFF"/>
            </w:rPr>
            <w:fldChar w:fldCharType="begin"/>
          </w:r>
          <w:r w:rsidR="003B7A87">
            <w:rPr>
              <w:rFonts w:cstheme="minorHAnsi"/>
              <w:color w:val="1D1D1D"/>
              <w:shd w:val="clear" w:color="auto" w:fill="FFFFFF"/>
            </w:rPr>
            <w:instrText xml:space="preserve"> CITATION AlH11 \l 1033 </w:instrText>
          </w:r>
          <w:r w:rsidR="003B7A87">
            <w:rPr>
              <w:rFonts w:cstheme="minorHAnsi"/>
              <w:color w:val="1D1D1D"/>
              <w:shd w:val="clear" w:color="auto" w:fill="FFFFFF"/>
            </w:rPr>
            <w:fldChar w:fldCharType="separate"/>
          </w:r>
          <w:r w:rsidR="003B7A87">
            <w:rPr>
              <w:rFonts w:cstheme="minorHAnsi"/>
              <w:noProof/>
              <w:color w:val="1D1D1D"/>
              <w:shd w:val="clear" w:color="auto" w:fill="FFFFFF"/>
            </w:rPr>
            <w:t xml:space="preserve"> </w:t>
          </w:r>
          <w:r w:rsidR="003B7A87" w:rsidRPr="003B7A87">
            <w:rPr>
              <w:rFonts w:cstheme="minorHAnsi"/>
              <w:noProof/>
              <w:color w:val="1D1D1D"/>
              <w:shd w:val="clear" w:color="auto" w:fill="FFFFFF"/>
            </w:rPr>
            <w:t>(Al-Herbish, 2011)</w:t>
          </w:r>
          <w:r w:rsidR="003B7A87">
            <w:rPr>
              <w:rFonts w:cstheme="minorHAnsi"/>
              <w:color w:val="1D1D1D"/>
              <w:shd w:val="clear" w:color="auto" w:fill="FFFFFF"/>
            </w:rPr>
            <w:fldChar w:fldCharType="end"/>
          </w:r>
        </w:sdtContent>
      </w:sdt>
      <w:r w:rsidR="000468D3">
        <w:rPr>
          <w:rFonts w:cstheme="minorHAnsi"/>
          <w:color w:val="1D1D1D"/>
          <w:shd w:val="clear" w:color="auto" w:fill="FFFFFF"/>
        </w:rPr>
        <w:t xml:space="preserve">. The procedures involved in this committees comprise </w:t>
      </w:r>
      <w:r w:rsidR="00EC13A0">
        <w:rPr>
          <w:rFonts w:cstheme="minorHAnsi"/>
          <w:color w:val="1D1D1D"/>
          <w:shd w:val="clear" w:color="auto" w:fill="FFFFFF"/>
        </w:rPr>
        <w:t xml:space="preserve">of two crucial </w:t>
      </w:r>
      <w:r w:rsidR="00DC24ED">
        <w:rPr>
          <w:rFonts w:cstheme="minorHAnsi"/>
          <w:color w:val="1D1D1D"/>
          <w:shd w:val="clear" w:color="auto" w:fill="FFFFFF"/>
        </w:rPr>
        <w:t>litigations processes or stages; appeal and primary stages.</w:t>
      </w:r>
    </w:p>
    <w:p w14:paraId="299FA949" w14:textId="4BE20B15" w:rsidR="00DC24ED" w:rsidRPr="00AA6C79" w:rsidRDefault="00DC24ED" w:rsidP="00AA6C79">
      <w:pPr>
        <w:pStyle w:val="Title2"/>
        <w:ind w:firstLine="720"/>
        <w:jc w:val="left"/>
        <w:rPr>
          <w:rFonts w:cstheme="minorHAnsi"/>
          <w:color w:val="1D1D1D"/>
          <w:shd w:val="clear" w:color="auto" w:fill="FFFFFF"/>
        </w:rPr>
      </w:pPr>
      <w:r>
        <w:rPr>
          <w:rFonts w:cstheme="minorHAnsi"/>
          <w:color w:val="1D1D1D"/>
          <w:shd w:val="clear" w:color="auto" w:fill="FFFFFF"/>
        </w:rPr>
        <w:t>At the primary stage the committee deals with the settlement of private and public claims, disputes, violations resulting from the application of stipulations and provisions of the control regulations of various financing organizations, instructions and rules, their appendix timeframes, Financing Rent Regulations Provisions. On the other hand, at the appeal stage, the committee deals with the settlement of different objections appealed against the Finance Committee’s resolutions. The resolutions of the appeal committees are usually issued based on the majority rules and they are final as well as not revocable by any government agency or authority.</w:t>
      </w:r>
    </w:p>
    <w:p w14:paraId="0BC4C266" w14:textId="06F7E6DB" w:rsidR="00AA6C79" w:rsidRDefault="00AF6C6D" w:rsidP="00AF6C6D">
      <w:pPr>
        <w:pStyle w:val="Title2"/>
        <w:jc w:val="left"/>
        <w:rPr>
          <w:b/>
          <w:bCs/>
        </w:rPr>
      </w:pPr>
      <w:r w:rsidRPr="00AF6C6D">
        <w:rPr>
          <w:b/>
          <w:bCs/>
        </w:rPr>
        <w:t>Committee for Settlement of Credit Information Violations and Disputes</w:t>
      </w:r>
    </w:p>
    <w:p w14:paraId="6F602218" w14:textId="71E37D66" w:rsidR="00AF6C6D" w:rsidRDefault="00AF6C6D" w:rsidP="00AF6C6D">
      <w:pPr>
        <w:pStyle w:val="Title2"/>
        <w:ind w:firstLine="720"/>
        <w:jc w:val="left"/>
      </w:pPr>
      <w:r w:rsidRPr="00AF6C6D">
        <w:t xml:space="preserve">Credit Information Committee was established </w:t>
      </w:r>
      <w:r>
        <w:t xml:space="preserve">under the promulgation of the Royal Decree number(M/37) of 5/7/1429H.Article two of the credit information law states that a </w:t>
      </w:r>
      <w:r>
        <w:lastRenderedPageBreak/>
        <w:t>judicial or natural individual should give information concerning credit services before acquiring the license from Saudi Arabia Monetary Authority (SAMA)</w:t>
      </w:r>
      <w:sdt>
        <w:sdtPr>
          <w:id w:val="-1906523335"/>
          <w:citation/>
        </w:sdtPr>
        <w:sdtContent>
          <w:r w:rsidR="003B7A87">
            <w:fldChar w:fldCharType="begin"/>
          </w:r>
          <w:r w:rsidR="003B7A87">
            <w:instrText xml:space="preserve"> CITATION AlH11 \l 1033 </w:instrText>
          </w:r>
          <w:r w:rsidR="003B7A87">
            <w:fldChar w:fldCharType="separate"/>
          </w:r>
          <w:r w:rsidR="003B7A87">
            <w:rPr>
              <w:noProof/>
            </w:rPr>
            <w:t xml:space="preserve"> (Al-Herbish, 2011)</w:t>
          </w:r>
          <w:r w:rsidR="003B7A87">
            <w:fldChar w:fldCharType="end"/>
          </w:r>
        </w:sdtContent>
      </w:sdt>
      <w:r w:rsidR="00AC7897">
        <w:t>.</w:t>
      </w:r>
    </w:p>
    <w:p w14:paraId="23C6B6E3" w14:textId="177D323C" w:rsidR="00AC7897" w:rsidRPr="00AF6C6D" w:rsidRDefault="00AC7897" w:rsidP="00AF6C6D">
      <w:pPr>
        <w:pStyle w:val="Title2"/>
        <w:ind w:firstLine="720"/>
        <w:jc w:val="left"/>
        <w:rPr>
          <w:rFonts w:cstheme="minorHAnsi"/>
        </w:rPr>
      </w:pPr>
      <w:r>
        <w:t xml:space="preserve">According to article 14 of the credit information law, a Committee for Settlement of Credit Information Disputes and Violations must consist at least three members nominated, appointed, and their tenure is determined by the Finance Minister’s Resolution. </w:t>
      </w:r>
      <w:r w:rsidR="003B7A87">
        <w:t xml:space="preserve">Additionally, the committee has powers to establish its own charter highlighting their work procedures, arbitration, and processes.  </w:t>
      </w:r>
    </w:p>
    <w:p w14:paraId="07A148A5" w14:textId="4160F273" w:rsidR="00CD332D" w:rsidRDefault="00CD332D" w:rsidP="00CD332D">
      <w:pPr>
        <w:pStyle w:val="Title2"/>
        <w:jc w:val="left"/>
        <w:rPr>
          <w:rFonts w:cstheme="minorHAnsi"/>
        </w:rPr>
      </w:pPr>
    </w:p>
    <w:p w14:paraId="3F420649" w14:textId="62F7F68F" w:rsidR="00CD332D" w:rsidRDefault="00CD332D" w:rsidP="00CD332D">
      <w:pPr>
        <w:pStyle w:val="Title2"/>
        <w:rPr>
          <w:rFonts w:cstheme="minorHAnsi"/>
        </w:rPr>
      </w:pPr>
    </w:p>
    <w:p w14:paraId="5DBAB632" w14:textId="5EEC8BBB" w:rsidR="00CD332D" w:rsidRDefault="00CD332D" w:rsidP="00CD332D">
      <w:pPr>
        <w:pStyle w:val="Title2"/>
        <w:rPr>
          <w:rFonts w:cstheme="minorHAnsi"/>
        </w:rPr>
      </w:pPr>
    </w:p>
    <w:p w14:paraId="33B97088" w14:textId="6C1EE4F3" w:rsidR="00CD332D" w:rsidRDefault="00CD332D" w:rsidP="00CD332D">
      <w:pPr>
        <w:pStyle w:val="Title2"/>
        <w:rPr>
          <w:rFonts w:cstheme="minorHAnsi"/>
        </w:rPr>
      </w:pPr>
    </w:p>
    <w:p w14:paraId="78422C6B" w14:textId="1DAF05AD" w:rsidR="00CD332D" w:rsidRDefault="00CD332D" w:rsidP="00CD332D">
      <w:pPr>
        <w:pStyle w:val="Title2"/>
        <w:rPr>
          <w:rFonts w:cstheme="minorHAnsi"/>
        </w:rPr>
      </w:pPr>
    </w:p>
    <w:p w14:paraId="5E797A9D" w14:textId="7561BEC9" w:rsidR="00CD332D" w:rsidRDefault="00CD332D" w:rsidP="00CD332D">
      <w:pPr>
        <w:pStyle w:val="Title2"/>
        <w:rPr>
          <w:rFonts w:cstheme="minorHAnsi"/>
        </w:rPr>
      </w:pPr>
    </w:p>
    <w:p w14:paraId="41E1187C" w14:textId="73752370" w:rsidR="00CD332D" w:rsidRDefault="00CD332D" w:rsidP="00CD332D">
      <w:pPr>
        <w:pStyle w:val="Title2"/>
        <w:rPr>
          <w:rFonts w:cstheme="minorHAnsi"/>
        </w:rPr>
      </w:pPr>
    </w:p>
    <w:p w14:paraId="6FDD6A15" w14:textId="1C3BA523" w:rsidR="00CD332D" w:rsidRDefault="00CD332D" w:rsidP="00CD332D">
      <w:pPr>
        <w:pStyle w:val="Title2"/>
        <w:rPr>
          <w:rFonts w:cstheme="minorHAnsi"/>
        </w:rPr>
      </w:pPr>
    </w:p>
    <w:p w14:paraId="373AECC8" w14:textId="3F4EA405" w:rsidR="00CD332D" w:rsidRDefault="00CD332D" w:rsidP="00CD332D">
      <w:pPr>
        <w:pStyle w:val="Title2"/>
        <w:rPr>
          <w:rFonts w:cstheme="minorHAnsi"/>
        </w:rPr>
      </w:pPr>
    </w:p>
    <w:p w14:paraId="46F7384C" w14:textId="15378557" w:rsidR="003B7A87" w:rsidRDefault="003B7A87" w:rsidP="00CD332D">
      <w:pPr>
        <w:pStyle w:val="Title2"/>
        <w:rPr>
          <w:rFonts w:cstheme="minorHAnsi"/>
        </w:rPr>
      </w:pPr>
    </w:p>
    <w:p w14:paraId="0E032A42" w14:textId="2A78DCAD" w:rsidR="003B7A87" w:rsidRDefault="003B7A87" w:rsidP="00CD332D">
      <w:pPr>
        <w:pStyle w:val="Title2"/>
        <w:rPr>
          <w:rFonts w:cstheme="minorHAnsi"/>
        </w:rPr>
      </w:pPr>
    </w:p>
    <w:p w14:paraId="79B6A340" w14:textId="6EA1B63F" w:rsidR="003B7A87" w:rsidRDefault="003B7A87" w:rsidP="00CD332D">
      <w:pPr>
        <w:pStyle w:val="Title2"/>
        <w:rPr>
          <w:rFonts w:cstheme="minorHAnsi"/>
        </w:rPr>
      </w:pPr>
    </w:p>
    <w:p w14:paraId="4CD99396" w14:textId="51FFAF58" w:rsidR="003B7A87" w:rsidRDefault="003B7A87" w:rsidP="00CD332D">
      <w:pPr>
        <w:pStyle w:val="Title2"/>
        <w:rPr>
          <w:rFonts w:cstheme="minorHAnsi"/>
        </w:rPr>
      </w:pPr>
    </w:p>
    <w:p w14:paraId="58F6923E" w14:textId="0655351C" w:rsidR="003B7A87" w:rsidRDefault="003B7A87" w:rsidP="00CD332D">
      <w:pPr>
        <w:pStyle w:val="Title2"/>
        <w:rPr>
          <w:rFonts w:cstheme="minorHAnsi"/>
        </w:rPr>
      </w:pPr>
    </w:p>
    <w:p w14:paraId="0DE32BD2" w14:textId="5F14D70D" w:rsidR="003B7A87" w:rsidRDefault="003B7A87" w:rsidP="00CD332D">
      <w:pPr>
        <w:pStyle w:val="Title2"/>
        <w:rPr>
          <w:rFonts w:cstheme="minorHAnsi"/>
        </w:rPr>
      </w:pPr>
    </w:p>
    <w:p w14:paraId="3D8AFDAA" w14:textId="18324AD6" w:rsidR="003B7A87" w:rsidRDefault="003B7A87" w:rsidP="00CD332D">
      <w:pPr>
        <w:pStyle w:val="Title2"/>
        <w:rPr>
          <w:rFonts w:cstheme="minorHAnsi"/>
        </w:rPr>
      </w:pPr>
    </w:p>
    <w:p w14:paraId="5C6DB2AE" w14:textId="285E7128" w:rsidR="003B7A87" w:rsidRDefault="003B7A87" w:rsidP="00CD332D">
      <w:pPr>
        <w:pStyle w:val="Title2"/>
        <w:rPr>
          <w:rFonts w:cstheme="minorHAnsi"/>
        </w:rPr>
      </w:pPr>
      <w:r>
        <w:rPr>
          <w:rFonts w:cstheme="minorHAnsi"/>
        </w:rPr>
        <w:lastRenderedPageBreak/>
        <w:t xml:space="preserve">References </w:t>
      </w:r>
    </w:p>
    <w:p w14:paraId="7F7AA127" w14:textId="77777777" w:rsidR="003B7A87" w:rsidRDefault="003B7A87" w:rsidP="003B7A87">
      <w:pPr>
        <w:pStyle w:val="Bibliography"/>
        <w:rPr>
          <w:noProof/>
        </w:rPr>
      </w:pPr>
      <w:r>
        <w:rPr>
          <w:rFonts w:cstheme="minorHAnsi"/>
        </w:rPr>
        <w:fldChar w:fldCharType="begin"/>
      </w:r>
      <w:r>
        <w:rPr>
          <w:rFonts w:cstheme="minorHAnsi"/>
        </w:rPr>
        <w:instrText xml:space="preserve"> BIBLIOGRAPHY  \l 1033 </w:instrText>
      </w:r>
      <w:r>
        <w:rPr>
          <w:rFonts w:cstheme="minorHAnsi"/>
        </w:rPr>
        <w:fldChar w:fldCharType="separate"/>
      </w:r>
      <w:r>
        <w:rPr>
          <w:noProof/>
        </w:rPr>
        <w:t xml:space="preserve">Al-Herbish, Z. (2011). Jurisdiction over Banking Disputes in Saudi Arabia. </w:t>
      </w:r>
      <w:r>
        <w:rPr>
          <w:i/>
          <w:iCs/>
          <w:noProof/>
        </w:rPr>
        <w:t>Arab Law Quarterly, 25</w:t>
      </w:r>
      <w:r>
        <w:rPr>
          <w:noProof/>
        </w:rPr>
        <w:t>(2), 221-228. doi:10.1163/157302511X551455</w:t>
      </w:r>
    </w:p>
    <w:p w14:paraId="7E1D18C1" w14:textId="2C7B8D38" w:rsidR="003B7A87" w:rsidRDefault="003B7A87" w:rsidP="003B7A87">
      <w:pPr>
        <w:pStyle w:val="Bibliography"/>
        <w:rPr>
          <w:noProof/>
        </w:rPr>
      </w:pPr>
    </w:p>
    <w:p w14:paraId="4A27C2E7" w14:textId="3D4B904F" w:rsidR="003B7A87" w:rsidRPr="00CD332D" w:rsidRDefault="003B7A87" w:rsidP="003B7A87">
      <w:pPr>
        <w:pStyle w:val="Title2"/>
        <w:rPr>
          <w:rFonts w:cstheme="minorHAnsi"/>
        </w:rPr>
      </w:pPr>
      <w:r>
        <w:rPr>
          <w:rFonts w:cstheme="minorHAnsi"/>
        </w:rPr>
        <w:fldChar w:fldCharType="end"/>
      </w:r>
    </w:p>
    <w:sectPr w:rsidR="003B7A87" w:rsidRPr="00CD332D">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1738D" w14:textId="77777777" w:rsidR="0014701F" w:rsidRDefault="0014701F">
      <w:pPr>
        <w:spacing w:line="240" w:lineRule="auto"/>
      </w:pPr>
      <w:r>
        <w:separator/>
      </w:r>
    </w:p>
    <w:p w14:paraId="1A4AB387" w14:textId="77777777" w:rsidR="0014701F" w:rsidRDefault="0014701F"/>
  </w:endnote>
  <w:endnote w:type="continuationSeparator" w:id="0">
    <w:p w14:paraId="34607CA6" w14:textId="77777777" w:rsidR="0014701F" w:rsidRDefault="0014701F">
      <w:pPr>
        <w:spacing w:line="240" w:lineRule="auto"/>
      </w:pPr>
      <w:r>
        <w:continuationSeparator/>
      </w:r>
    </w:p>
    <w:p w14:paraId="749ABE93" w14:textId="77777777" w:rsidR="0014701F" w:rsidRDefault="00147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B2FD2" w14:textId="77777777" w:rsidR="0014701F" w:rsidRDefault="0014701F">
      <w:pPr>
        <w:spacing w:line="240" w:lineRule="auto"/>
      </w:pPr>
      <w:r>
        <w:separator/>
      </w:r>
    </w:p>
    <w:p w14:paraId="0D2662BC" w14:textId="77777777" w:rsidR="0014701F" w:rsidRDefault="0014701F"/>
  </w:footnote>
  <w:footnote w:type="continuationSeparator" w:id="0">
    <w:p w14:paraId="51751448" w14:textId="77777777" w:rsidR="0014701F" w:rsidRDefault="0014701F">
      <w:pPr>
        <w:spacing w:line="240" w:lineRule="auto"/>
      </w:pPr>
      <w:r>
        <w:continuationSeparator/>
      </w:r>
    </w:p>
    <w:p w14:paraId="1397F6C2" w14:textId="77777777" w:rsidR="0014701F" w:rsidRDefault="00147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70F27" w14:textId="5FD1A59E" w:rsidR="00E81978" w:rsidRDefault="0014701F">
    <w:pPr>
      <w:pStyle w:val="Header"/>
    </w:pPr>
    <w:sdt>
      <w:sdtPr>
        <w:rPr>
          <w:rStyle w:val="Strong"/>
        </w:rPr>
        <w:alias w:val="Running head"/>
        <w:tag w:val=""/>
        <w:id w:val="12739865"/>
        <w:placeholder>
          <w:docPart w:val="28D1E1A083D9462593E3897A3D8E2FE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D332D">
          <w:rPr>
            <w:rStyle w:val="Strong"/>
          </w:rPr>
          <w:t xml:space="preserve">SAUDI BANKING LAW </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A52F" w14:textId="66D9C8A6" w:rsidR="00E81978" w:rsidRDefault="005D3A03">
    <w:pPr>
      <w:pStyle w:val="Header"/>
      <w:rPr>
        <w:rStyle w:val="Strong"/>
      </w:rPr>
    </w:pPr>
    <w:r>
      <w:t xml:space="preserve"> </w:t>
    </w:r>
    <w:sdt>
      <w:sdtPr>
        <w:rPr>
          <w:rStyle w:val="Strong"/>
        </w:rPr>
        <w:alias w:val="Running head"/>
        <w:tag w:val=""/>
        <w:id w:val="-696842620"/>
        <w:placeholder>
          <w:docPart w:val="B814E237FD0E413EBE5C283C2F1CD7A7"/>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D332D">
          <w:rPr>
            <w:rStyle w:val="Strong"/>
          </w:rPr>
          <w:t xml:space="preserve">SAUDI BANKING LAW </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2D"/>
    <w:rsid w:val="000468D3"/>
    <w:rsid w:val="000D3F41"/>
    <w:rsid w:val="0014701F"/>
    <w:rsid w:val="001E06D5"/>
    <w:rsid w:val="00321DFC"/>
    <w:rsid w:val="00355DCA"/>
    <w:rsid w:val="00360E0E"/>
    <w:rsid w:val="003B7A87"/>
    <w:rsid w:val="004B0632"/>
    <w:rsid w:val="004C5ADE"/>
    <w:rsid w:val="00551A02"/>
    <w:rsid w:val="005534FA"/>
    <w:rsid w:val="005B2AEE"/>
    <w:rsid w:val="005D3A03"/>
    <w:rsid w:val="00723C65"/>
    <w:rsid w:val="007B2CAA"/>
    <w:rsid w:val="007E4B68"/>
    <w:rsid w:val="008002C0"/>
    <w:rsid w:val="008C5323"/>
    <w:rsid w:val="009A6A3B"/>
    <w:rsid w:val="00A90494"/>
    <w:rsid w:val="00AA6C79"/>
    <w:rsid w:val="00AC7897"/>
    <w:rsid w:val="00AF6C6D"/>
    <w:rsid w:val="00B823AA"/>
    <w:rsid w:val="00BA45DB"/>
    <w:rsid w:val="00BF4184"/>
    <w:rsid w:val="00C0601E"/>
    <w:rsid w:val="00C31D30"/>
    <w:rsid w:val="00CD332D"/>
    <w:rsid w:val="00CD6E39"/>
    <w:rsid w:val="00CF6E91"/>
    <w:rsid w:val="00D85B68"/>
    <w:rsid w:val="00DC24ED"/>
    <w:rsid w:val="00E6004D"/>
    <w:rsid w:val="00E81978"/>
    <w:rsid w:val="00EC13A0"/>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F559E"/>
  <w15:chartTrackingRefBased/>
  <w15:docId w15:val="{7359AD0B-3DCE-4AA8-A545-004277AF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58088">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0234729">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8281537">
      <w:bodyDiv w:val="1"/>
      <w:marLeft w:val="0"/>
      <w:marRight w:val="0"/>
      <w:marTop w:val="0"/>
      <w:marBottom w:val="0"/>
      <w:divBdr>
        <w:top w:val="none" w:sz="0" w:space="0" w:color="auto"/>
        <w:left w:val="none" w:sz="0" w:space="0" w:color="auto"/>
        <w:bottom w:val="none" w:sz="0" w:space="0" w:color="auto"/>
        <w:right w:val="none" w:sz="0" w:space="0" w:color="auto"/>
      </w:divBdr>
    </w:div>
    <w:div w:id="54298477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5349935">
      <w:bodyDiv w:val="1"/>
      <w:marLeft w:val="0"/>
      <w:marRight w:val="0"/>
      <w:marTop w:val="0"/>
      <w:marBottom w:val="0"/>
      <w:divBdr>
        <w:top w:val="none" w:sz="0" w:space="0" w:color="auto"/>
        <w:left w:val="none" w:sz="0" w:space="0" w:color="auto"/>
        <w:bottom w:val="none" w:sz="0" w:space="0" w:color="auto"/>
        <w:right w:val="none" w:sz="0" w:space="0" w:color="auto"/>
      </w:divBdr>
    </w:div>
    <w:div w:id="91023700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D561436B69489FB7EDE10CD49F9CDA"/>
        <w:category>
          <w:name w:val="General"/>
          <w:gallery w:val="placeholder"/>
        </w:category>
        <w:types>
          <w:type w:val="bbPlcHdr"/>
        </w:types>
        <w:behaviors>
          <w:behavior w:val="content"/>
        </w:behaviors>
        <w:guid w:val="{DFCD121B-C2CA-4A9D-9F38-E9A5E00CA780}"/>
      </w:docPartPr>
      <w:docPartBody>
        <w:p w:rsidR="00000000" w:rsidRDefault="008D3476">
          <w:pPr>
            <w:pStyle w:val="DAD561436B69489FB7EDE10CD49F9CDA"/>
          </w:pPr>
          <w:r>
            <w:t>[Title Here, up to 12 Words, on One to Two Lines]</w:t>
          </w:r>
        </w:p>
      </w:docPartBody>
    </w:docPart>
    <w:docPart>
      <w:docPartPr>
        <w:name w:val="28D1E1A083D9462593E3897A3D8E2FE6"/>
        <w:category>
          <w:name w:val="General"/>
          <w:gallery w:val="placeholder"/>
        </w:category>
        <w:types>
          <w:type w:val="bbPlcHdr"/>
        </w:types>
        <w:behaviors>
          <w:behavior w:val="content"/>
        </w:behaviors>
        <w:guid w:val="{A3A79B1E-AC2A-4D67-A3C1-319E7BB170FB}"/>
      </w:docPartPr>
      <w:docPartBody>
        <w:p w:rsidR="00000000" w:rsidRDefault="008D3476">
          <w:pPr>
            <w:pStyle w:val="28D1E1A083D9462593E3897A3D8E2FE6"/>
          </w:pPr>
          <w:r w:rsidRPr="005D3A03">
            <w:t>Figures title:</w:t>
          </w:r>
        </w:p>
      </w:docPartBody>
    </w:docPart>
    <w:docPart>
      <w:docPartPr>
        <w:name w:val="B814E237FD0E413EBE5C283C2F1CD7A7"/>
        <w:category>
          <w:name w:val="General"/>
          <w:gallery w:val="placeholder"/>
        </w:category>
        <w:types>
          <w:type w:val="bbPlcHdr"/>
        </w:types>
        <w:behaviors>
          <w:behavior w:val="content"/>
        </w:behaviors>
        <w:guid w:val="{8F817938-18ED-4E20-8573-26A697015179}"/>
      </w:docPartPr>
      <w:docPartBody>
        <w:p w:rsidR="00000000" w:rsidRDefault="008D3476">
          <w:pPr>
            <w:pStyle w:val="B814E237FD0E413EBE5C283C2F1CD7A7"/>
          </w:pPr>
          <w:r>
            <w:t>[Include all figures in their own section, following references (and footnotes and tables, if applicable).  Include a numbered caption for each figure.  Use the Table/Fi</w:t>
          </w:r>
          <w:r>
            <w:t>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76"/>
    <w:rsid w:val="008D347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561436B69489FB7EDE10CD49F9CDA">
    <w:name w:val="DAD561436B69489FB7EDE10CD49F9CDA"/>
  </w:style>
  <w:style w:type="paragraph" w:customStyle="1" w:styleId="9681F0DD52434F259F4E4AB7C3ECB9CF">
    <w:name w:val="9681F0DD52434F259F4E4AB7C3ECB9CF"/>
  </w:style>
  <w:style w:type="paragraph" w:customStyle="1" w:styleId="4C32CB339C244093A9560F71C3F10BE8">
    <w:name w:val="4C32CB339C244093A9560F71C3F10BE8"/>
  </w:style>
  <w:style w:type="paragraph" w:customStyle="1" w:styleId="2C98CABD82C843A993B1842709666982">
    <w:name w:val="2C98CABD82C843A993B1842709666982"/>
  </w:style>
  <w:style w:type="paragraph" w:customStyle="1" w:styleId="1255DF2E040A4CBCA18E3DCF850A3B83">
    <w:name w:val="1255DF2E040A4CBCA18E3DCF850A3B83"/>
  </w:style>
  <w:style w:type="paragraph" w:customStyle="1" w:styleId="0B7CBE2613B340D0A2A5191AE2A41965">
    <w:name w:val="0B7CBE2613B340D0A2A5191AE2A41965"/>
  </w:style>
  <w:style w:type="character" w:styleId="Emphasis">
    <w:name w:val="Emphasis"/>
    <w:basedOn w:val="DefaultParagraphFont"/>
    <w:uiPriority w:val="4"/>
    <w:unhideWhenUsed/>
    <w:qFormat/>
    <w:rPr>
      <w:i/>
      <w:iCs/>
    </w:rPr>
  </w:style>
  <w:style w:type="paragraph" w:customStyle="1" w:styleId="E0D166BDF843420785ED5581AC33EFA5">
    <w:name w:val="E0D166BDF843420785ED5581AC33EFA5"/>
  </w:style>
  <w:style w:type="paragraph" w:customStyle="1" w:styleId="C02F02C121F4489D829CFAD2855692E4">
    <w:name w:val="C02F02C121F4489D829CFAD2855692E4"/>
  </w:style>
  <w:style w:type="paragraph" w:customStyle="1" w:styleId="73B4746490524F46BFB9841656722F8F">
    <w:name w:val="73B4746490524F46BFB9841656722F8F"/>
  </w:style>
  <w:style w:type="paragraph" w:customStyle="1" w:styleId="750AC34D3F654838A37BD811C561E39D">
    <w:name w:val="750AC34D3F654838A37BD811C561E39D"/>
  </w:style>
  <w:style w:type="paragraph" w:customStyle="1" w:styleId="8AA097B0449D4831892A15559E8B1DAA">
    <w:name w:val="8AA097B0449D4831892A15559E8B1DAA"/>
  </w:style>
  <w:style w:type="paragraph" w:customStyle="1" w:styleId="918FFCB73F18433192F644D1506EE9C8">
    <w:name w:val="918FFCB73F18433192F644D1506EE9C8"/>
  </w:style>
  <w:style w:type="paragraph" w:customStyle="1" w:styleId="8BB5B0C69CD241928010F6C90BD1E57E">
    <w:name w:val="8BB5B0C69CD241928010F6C90BD1E57E"/>
  </w:style>
  <w:style w:type="paragraph" w:customStyle="1" w:styleId="06290577F0A748A0AE0340CFC836BE36">
    <w:name w:val="06290577F0A748A0AE0340CFC836BE36"/>
  </w:style>
  <w:style w:type="paragraph" w:customStyle="1" w:styleId="FD7B683B68454283AECD6B29497EA2C9">
    <w:name w:val="FD7B683B68454283AECD6B29497EA2C9"/>
  </w:style>
  <w:style w:type="paragraph" w:customStyle="1" w:styleId="6DEB43FF5CE042B1B1756BBA7976F9D3">
    <w:name w:val="6DEB43FF5CE042B1B1756BBA7976F9D3"/>
  </w:style>
  <w:style w:type="paragraph" w:customStyle="1" w:styleId="E9339A22653441FFAF93D30E6830DB36">
    <w:name w:val="E9339A22653441FFAF93D30E6830DB36"/>
  </w:style>
  <w:style w:type="paragraph" w:customStyle="1" w:styleId="0974AB495CE54222B880352BC314A573">
    <w:name w:val="0974AB495CE54222B880352BC314A573"/>
  </w:style>
  <w:style w:type="paragraph" w:customStyle="1" w:styleId="B75C591F98A644E4B00411B657D5F226">
    <w:name w:val="B75C591F98A644E4B00411B657D5F226"/>
  </w:style>
  <w:style w:type="paragraph" w:customStyle="1" w:styleId="9400D300003447F1A3E3602A42408B04">
    <w:name w:val="9400D300003447F1A3E3602A42408B04"/>
  </w:style>
  <w:style w:type="paragraph" w:customStyle="1" w:styleId="FE68608549C444DC8E61DBC7969A0B81">
    <w:name w:val="FE68608549C444DC8E61DBC7969A0B81"/>
  </w:style>
  <w:style w:type="paragraph" w:customStyle="1" w:styleId="557D07A3A4694E48A1B6951E7C616028">
    <w:name w:val="557D07A3A4694E48A1B6951E7C616028"/>
  </w:style>
  <w:style w:type="paragraph" w:customStyle="1" w:styleId="90534B1A6B1F4C95A085E321304B9157">
    <w:name w:val="90534B1A6B1F4C95A085E321304B9157"/>
  </w:style>
  <w:style w:type="paragraph" w:customStyle="1" w:styleId="DCD70C1D057E40F0A6DA24EB00F23732">
    <w:name w:val="DCD70C1D057E40F0A6DA24EB00F23732"/>
  </w:style>
  <w:style w:type="paragraph" w:customStyle="1" w:styleId="FBD6303B4CAC43DBBDE726BA3027EF11">
    <w:name w:val="FBD6303B4CAC43DBBDE726BA3027EF11"/>
  </w:style>
  <w:style w:type="paragraph" w:customStyle="1" w:styleId="EB0A40C3C3194825BCA606FEA3E7C6F6">
    <w:name w:val="EB0A40C3C3194825BCA606FEA3E7C6F6"/>
  </w:style>
  <w:style w:type="paragraph" w:customStyle="1" w:styleId="F51A58945086450798D236F7FB390DDC">
    <w:name w:val="F51A58945086450798D236F7FB390DDC"/>
  </w:style>
  <w:style w:type="paragraph" w:customStyle="1" w:styleId="4B61DABD421543A69A7F94B6E7C095E3">
    <w:name w:val="4B61DABD421543A69A7F94B6E7C095E3"/>
  </w:style>
  <w:style w:type="paragraph" w:customStyle="1" w:styleId="279D6BB4C92D4721AA986BC3309F2863">
    <w:name w:val="279D6BB4C92D4721AA986BC3309F2863"/>
  </w:style>
  <w:style w:type="paragraph" w:customStyle="1" w:styleId="ED64F76D4A9D449CB2FA87BE36BD637A">
    <w:name w:val="ED64F76D4A9D449CB2FA87BE36BD637A"/>
  </w:style>
  <w:style w:type="paragraph" w:customStyle="1" w:styleId="A4BF48D523554C828FAF6E92EEDC6F91">
    <w:name w:val="A4BF48D523554C828FAF6E92EEDC6F91"/>
  </w:style>
  <w:style w:type="paragraph" w:customStyle="1" w:styleId="683C6BFEA9DB4854B4313287221684C2">
    <w:name w:val="683C6BFEA9DB4854B4313287221684C2"/>
  </w:style>
  <w:style w:type="paragraph" w:customStyle="1" w:styleId="E2C479588A8A4673A2711C0B0F7E15E9">
    <w:name w:val="E2C479588A8A4673A2711C0B0F7E15E9"/>
  </w:style>
  <w:style w:type="paragraph" w:customStyle="1" w:styleId="890EBB2A739449B8B9CC008438087363">
    <w:name w:val="890EBB2A739449B8B9CC008438087363"/>
  </w:style>
  <w:style w:type="paragraph" w:customStyle="1" w:styleId="17FAB67C7527415BA21A069EB886A7AD">
    <w:name w:val="17FAB67C7527415BA21A069EB886A7AD"/>
  </w:style>
  <w:style w:type="paragraph" w:customStyle="1" w:styleId="2146B7EE15044278A455B352132CE04E">
    <w:name w:val="2146B7EE15044278A455B352132CE04E"/>
  </w:style>
  <w:style w:type="paragraph" w:customStyle="1" w:styleId="9A7E0ECCA9D340D1BBB76F682FB9CE7D">
    <w:name w:val="9A7E0ECCA9D340D1BBB76F682FB9CE7D"/>
  </w:style>
  <w:style w:type="paragraph" w:customStyle="1" w:styleId="E3F431FAB5EB4BFFA10809C162BD6FD1">
    <w:name w:val="E3F431FAB5EB4BFFA10809C162BD6FD1"/>
  </w:style>
  <w:style w:type="paragraph" w:customStyle="1" w:styleId="744BBBCD57BF4FCB8D5E4911BA7EF334">
    <w:name w:val="744BBBCD57BF4FCB8D5E4911BA7EF334"/>
  </w:style>
  <w:style w:type="paragraph" w:customStyle="1" w:styleId="4EB3587C986C41A2B5980006F896FBA0">
    <w:name w:val="4EB3587C986C41A2B5980006F896FBA0"/>
  </w:style>
  <w:style w:type="paragraph" w:customStyle="1" w:styleId="F3BFCBFA2D8E4F18BB7A3621198ED60A">
    <w:name w:val="F3BFCBFA2D8E4F18BB7A3621198ED60A"/>
  </w:style>
  <w:style w:type="paragraph" w:customStyle="1" w:styleId="3ECC4909223546F4801856B1E80D4204">
    <w:name w:val="3ECC4909223546F4801856B1E80D4204"/>
  </w:style>
  <w:style w:type="paragraph" w:customStyle="1" w:styleId="7ABCBE65E31B4BF1AFB51F7747770CAA">
    <w:name w:val="7ABCBE65E31B4BF1AFB51F7747770CAA"/>
  </w:style>
  <w:style w:type="paragraph" w:customStyle="1" w:styleId="82E361FDDF3D4D3493ADC1034A3634A2">
    <w:name w:val="82E361FDDF3D4D3493ADC1034A3634A2"/>
  </w:style>
  <w:style w:type="paragraph" w:customStyle="1" w:styleId="B213E1D203F44C33A79CD4C132623024">
    <w:name w:val="B213E1D203F44C33A79CD4C132623024"/>
  </w:style>
  <w:style w:type="paragraph" w:customStyle="1" w:styleId="7DA5AECC65854953BF7CC2764AD700DE">
    <w:name w:val="7DA5AECC65854953BF7CC2764AD700DE"/>
  </w:style>
  <w:style w:type="paragraph" w:customStyle="1" w:styleId="A796319E9B574262B4295BC45E39D89F">
    <w:name w:val="A796319E9B574262B4295BC45E39D89F"/>
  </w:style>
  <w:style w:type="paragraph" w:customStyle="1" w:styleId="BB0BCB4F75154E129ECE1075BF4C688B">
    <w:name w:val="BB0BCB4F75154E129ECE1075BF4C688B"/>
  </w:style>
  <w:style w:type="paragraph" w:customStyle="1" w:styleId="3A094C30F3954DB5BA3FF6A1DED16AE4">
    <w:name w:val="3A094C30F3954DB5BA3FF6A1DED16AE4"/>
  </w:style>
  <w:style w:type="paragraph" w:customStyle="1" w:styleId="0466385C84004B33981786D3C72395F7">
    <w:name w:val="0466385C84004B33981786D3C72395F7"/>
  </w:style>
  <w:style w:type="paragraph" w:customStyle="1" w:styleId="EBAD0F82F4CD43E9A780E9B07F166B18">
    <w:name w:val="EBAD0F82F4CD43E9A780E9B07F166B18"/>
  </w:style>
  <w:style w:type="paragraph" w:customStyle="1" w:styleId="DAC8F2FCCEAE487DBBF2367B2206E4DC">
    <w:name w:val="DAC8F2FCCEAE487DBBF2367B2206E4DC"/>
  </w:style>
  <w:style w:type="paragraph" w:customStyle="1" w:styleId="F5D02E6DF05147FBB2088F7F3C9D8F1A">
    <w:name w:val="F5D02E6DF05147FBB2088F7F3C9D8F1A"/>
  </w:style>
  <w:style w:type="paragraph" w:customStyle="1" w:styleId="46FB016ADFA54D30B34935E71A0284C8">
    <w:name w:val="46FB016ADFA54D30B34935E71A0284C8"/>
  </w:style>
  <w:style w:type="paragraph" w:customStyle="1" w:styleId="BA08EFF8F0D64C929AC3BDE44A599D69">
    <w:name w:val="BA08EFF8F0D64C929AC3BDE44A599D69"/>
  </w:style>
  <w:style w:type="paragraph" w:customStyle="1" w:styleId="7942E751629F4234BE4D0AFF5B17E0F0">
    <w:name w:val="7942E751629F4234BE4D0AFF5B17E0F0"/>
  </w:style>
  <w:style w:type="paragraph" w:customStyle="1" w:styleId="FEA4135972EB459592BA6068F38B1EF1">
    <w:name w:val="FEA4135972EB459592BA6068F38B1EF1"/>
  </w:style>
  <w:style w:type="paragraph" w:customStyle="1" w:styleId="21258BD89F8B4B9BB1D7C049936B1F05">
    <w:name w:val="21258BD89F8B4B9BB1D7C049936B1F05"/>
  </w:style>
  <w:style w:type="paragraph" w:customStyle="1" w:styleId="71DDC59F802643F4B78EF1E6A02BE221">
    <w:name w:val="71DDC59F802643F4B78EF1E6A02BE221"/>
  </w:style>
  <w:style w:type="paragraph" w:customStyle="1" w:styleId="3BE7823F32374B7495993E327CB96EDE">
    <w:name w:val="3BE7823F32374B7495993E327CB96EDE"/>
  </w:style>
  <w:style w:type="paragraph" w:customStyle="1" w:styleId="DEC55B5BE36C4F90B7F1B6910E6E4CF1">
    <w:name w:val="DEC55B5BE36C4F90B7F1B6910E6E4CF1"/>
  </w:style>
  <w:style w:type="paragraph" w:customStyle="1" w:styleId="28D1E1A083D9462593E3897A3D8E2FE6">
    <w:name w:val="28D1E1A083D9462593E3897A3D8E2FE6"/>
  </w:style>
  <w:style w:type="paragraph" w:customStyle="1" w:styleId="B814E237FD0E413EBE5C283C2F1CD7A7">
    <w:name w:val="B814E237FD0E413EBE5C283C2F1CD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SAUDI BANKING LAW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2</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3</b:RefOrder>
  </b:Source>
  <b:Source>
    <b:Tag>AlH11</b:Tag>
    <b:SourceType>JournalArticle</b:SourceType>
    <b:Guid>{64D4AED6-1CD1-4EFA-BE77-4F372EA70CBD}</b:Guid>
    <b:Title>Jurisdiction over Banking Disputes in Saudi Arabia</b:Title>
    <b:Year>2011</b:Year>
    <b:Author>
      <b:Author>
        <b:NameList>
          <b:Person>
            <b:Last>Al-Herbish</b:Last>
            <b:First>Zuhari</b:First>
          </b:Person>
        </b:NameList>
      </b:Author>
    </b:Author>
    <b:JournalName>Arab Law Quarterly</b:JournalName>
    <b:Pages>221-228</b:Pages>
    <b:Volume>25</b:Volume>
    <b:Issue>2</b:Issue>
    <b:YearAccessed>2021</b:YearAccessed>
    <b:MonthAccessed>4</b:MonthAccessed>
    <b:DayAccessed>01</b:DayAccessed>
    <b:URL>https://www.researchgate.net/publication/292135230_Jurisdiction_over_Banking_Disputes_in_Saudi_Arabia</b:URL>
    <b:DOI>10.1163/157302511X551455</b:DOI>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B150EA-060B-4A0D-944E-F0665C92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167</TotalTime>
  <Pages>5</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Saudi Banking Law</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Saudi Banking Law</dc:title>
  <dc:subject/>
  <dc:creator>LENOVO</dc:creator>
  <cp:keywords/>
  <dc:description/>
  <cp:lastModifiedBy>LENOVO</cp:lastModifiedBy>
  <cp:revision>13</cp:revision>
  <dcterms:created xsi:type="dcterms:W3CDTF">2021-04-01T10:19:00Z</dcterms:created>
  <dcterms:modified xsi:type="dcterms:W3CDTF">2021-04-01T13:06:00Z</dcterms:modified>
</cp:coreProperties>
</file>